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9315"/>
        <w:gridCol w:w="45"/>
      </w:tblGrid>
      <w:tr w:rsidR="00EE1F06" w:rsidRPr="00EE1F06" w:rsidTr="00EE1F06">
        <w:trPr>
          <w:gridAfter w:val="1"/>
          <w:tblCellSpacing w:w="15" w:type="dxa"/>
        </w:trPr>
        <w:tc>
          <w:tcPr>
            <w:tcW w:w="5000" w:type="pct"/>
            <w:shd w:val="clear" w:color="auto" w:fill="FAFAFA"/>
            <w:hideMark/>
          </w:tcPr>
          <w:p w:rsidR="00EE1F06" w:rsidRPr="00EE1F06" w:rsidRDefault="00EE1F06" w:rsidP="00EE1F06">
            <w:pPr>
              <w:bidi/>
              <w:spacing w:after="0" w:line="480" w:lineRule="auto"/>
              <w:jc w:val="both"/>
              <w:rPr>
                <w:rFonts w:ascii="Tahoma" w:eastAsia="Times New Roman" w:hAnsi="Tahoma" w:cs="Tahoma"/>
                <w:sz w:val="18"/>
                <w:szCs w:val="18"/>
              </w:rPr>
            </w:pPr>
            <w:hyperlink r:id="rId4" w:history="1">
              <w:r w:rsidRPr="00EE1F06">
                <w:rPr>
                  <w:rFonts w:ascii="Tahoma" w:eastAsia="Times New Roman" w:hAnsi="Tahoma" w:cs="Tahoma"/>
                  <w:b/>
                  <w:bCs/>
                  <w:color w:val="000802"/>
                  <w:sz w:val="18"/>
                  <w:szCs w:val="18"/>
                  <w:bdr w:val="none" w:sz="0" w:space="0" w:color="auto" w:frame="1"/>
                  <w:rtl/>
                </w:rPr>
                <w:t>مقایسه اثر عصاره آبی ریشه ارکید (</w:t>
              </w:r>
              <w:r w:rsidRPr="00EE1F06">
                <w:rPr>
                  <w:rFonts w:ascii="Tahoma" w:eastAsia="Times New Roman" w:hAnsi="Tahoma" w:cs="Tahoma"/>
                  <w:b/>
                  <w:bCs/>
                  <w:color w:val="000802"/>
                  <w:sz w:val="18"/>
                  <w:szCs w:val="18"/>
                  <w:bdr w:val="none" w:sz="0" w:space="0" w:color="auto" w:frame="1"/>
                </w:rPr>
                <w:t>Dactylorhiza maculate</w:t>
              </w:r>
              <w:r w:rsidRPr="00EE1F06">
                <w:rPr>
                  <w:rFonts w:ascii="Tahoma" w:eastAsia="Times New Roman" w:hAnsi="Tahoma" w:cs="Tahoma"/>
                  <w:b/>
                  <w:bCs/>
                  <w:color w:val="000802"/>
                  <w:sz w:val="18"/>
                  <w:szCs w:val="18"/>
                  <w:bdr w:val="none" w:sz="0" w:space="0" w:color="auto" w:frame="1"/>
                  <w:rtl/>
                </w:rPr>
                <w:t>) با ایبوبروفن بر آستانه حسی درد با استفاده از تست فرمالین در موش صحرایی نر بالغ</w:t>
              </w:r>
            </w:hyperlink>
          </w:p>
        </w:tc>
      </w:tr>
      <w:tr w:rsidR="00EE1F06" w:rsidRPr="00EE1F06" w:rsidTr="00EE1F06">
        <w:trPr>
          <w:tblCellSpacing w:w="15" w:type="dxa"/>
        </w:trPr>
        <w:tc>
          <w:tcPr>
            <w:tcW w:w="0" w:type="auto"/>
            <w:gridSpan w:val="2"/>
            <w:shd w:val="clear" w:color="auto" w:fill="FAFAFA"/>
            <w:vAlign w:val="center"/>
            <w:hideMark/>
          </w:tcPr>
          <w:p w:rsidR="00EE1F06" w:rsidRPr="00EE1F06" w:rsidRDefault="00EE1F06" w:rsidP="00EE1F06">
            <w:pPr>
              <w:bidi/>
              <w:spacing w:after="0" w:line="480" w:lineRule="auto"/>
              <w:jc w:val="both"/>
              <w:rPr>
                <w:rFonts w:ascii="Tahoma" w:eastAsia="Times New Roman" w:hAnsi="Tahoma" w:cs="Tahoma"/>
                <w:sz w:val="18"/>
                <w:szCs w:val="18"/>
                <w:rtl/>
              </w:rPr>
            </w:pPr>
            <w:hyperlink r:id="rId5" w:history="1">
              <w:r w:rsidRPr="00EE1F06">
                <w:rPr>
                  <w:rFonts w:ascii="Tahoma" w:eastAsia="Times New Roman" w:hAnsi="Tahoma" w:cs="Tahoma"/>
                  <w:color w:val="000802"/>
                  <w:sz w:val="18"/>
                  <w:szCs w:val="18"/>
                  <w:bdr w:val="none" w:sz="0" w:space="0" w:color="auto" w:frame="1"/>
                  <w:rtl/>
                </w:rPr>
                <w:t>حسین کارگر جهرمی</w:t>
              </w:r>
            </w:hyperlink>
            <w:r w:rsidRPr="00EE1F06">
              <w:rPr>
                <w:rFonts w:ascii="Tahoma" w:eastAsia="Times New Roman" w:hAnsi="Tahoma" w:cs="Tahoma"/>
                <w:sz w:val="18"/>
                <w:szCs w:val="18"/>
                <w:rtl/>
              </w:rPr>
              <w:t>، </w:t>
            </w:r>
            <w:hyperlink r:id="rId6" w:history="1">
              <w:r w:rsidRPr="00EE1F06">
                <w:rPr>
                  <w:rFonts w:ascii="Tahoma" w:eastAsia="Times New Roman" w:hAnsi="Tahoma" w:cs="Tahoma"/>
                  <w:color w:val="000802"/>
                  <w:sz w:val="18"/>
                  <w:szCs w:val="18"/>
                  <w:bdr w:val="none" w:sz="0" w:space="0" w:color="auto" w:frame="1"/>
                  <w:rtl/>
                </w:rPr>
                <w:t>اسماعیل صلح جو</w:t>
              </w:r>
            </w:hyperlink>
            <w:r w:rsidRPr="00EE1F06">
              <w:rPr>
                <w:rFonts w:ascii="Tahoma" w:eastAsia="Times New Roman" w:hAnsi="Tahoma" w:cs="Tahoma"/>
                <w:sz w:val="18"/>
                <w:szCs w:val="18"/>
                <w:rtl/>
              </w:rPr>
              <w:t> ، </w:t>
            </w:r>
            <w:hyperlink r:id="rId7" w:history="1">
              <w:r w:rsidRPr="00EE1F06">
                <w:rPr>
                  <w:rFonts w:ascii="Tahoma" w:eastAsia="Times New Roman" w:hAnsi="Tahoma" w:cs="Tahoma"/>
                  <w:color w:val="000802"/>
                  <w:sz w:val="18"/>
                  <w:szCs w:val="18"/>
                  <w:bdr w:val="none" w:sz="0" w:space="0" w:color="auto" w:frame="1"/>
                  <w:rtl/>
                </w:rPr>
                <w:t>آرش حسن نژاد</w:t>
              </w:r>
            </w:hyperlink>
            <w:r w:rsidRPr="00EE1F06">
              <w:rPr>
                <w:rFonts w:ascii="Tahoma" w:eastAsia="Times New Roman" w:hAnsi="Tahoma" w:cs="Tahoma"/>
                <w:sz w:val="18"/>
                <w:szCs w:val="18"/>
                <w:rtl/>
              </w:rPr>
              <w:t> ، </w:t>
            </w:r>
            <w:hyperlink r:id="rId8" w:history="1">
              <w:r w:rsidRPr="00EE1F06">
                <w:rPr>
                  <w:rFonts w:ascii="Tahoma" w:eastAsia="Times New Roman" w:hAnsi="Tahoma" w:cs="Tahoma"/>
                  <w:color w:val="000802"/>
                  <w:sz w:val="18"/>
                  <w:szCs w:val="18"/>
                  <w:bdr w:val="none" w:sz="0" w:space="0" w:color="auto" w:frame="1"/>
                  <w:rtl/>
                </w:rPr>
                <w:t>محمد پوراحمدی</w:t>
              </w:r>
            </w:hyperlink>
            <w:r w:rsidRPr="00EE1F06">
              <w:rPr>
                <w:rFonts w:ascii="Tahoma" w:eastAsia="Times New Roman" w:hAnsi="Tahoma" w:cs="Tahoma"/>
                <w:sz w:val="18"/>
                <w:szCs w:val="18"/>
                <w:rtl/>
              </w:rPr>
              <w:t> ، </w:t>
            </w:r>
            <w:hyperlink r:id="rId9" w:history="1">
              <w:r w:rsidRPr="00EE1F06">
                <w:rPr>
                  <w:rFonts w:ascii="Tahoma" w:eastAsia="Times New Roman" w:hAnsi="Tahoma" w:cs="Tahoma"/>
                  <w:color w:val="000802"/>
                  <w:sz w:val="18"/>
                  <w:szCs w:val="18"/>
                  <w:bdr w:val="none" w:sz="0" w:space="0" w:color="auto" w:frame="1"/>
                  <w:rtl/>
                </w:rPr>
                <w:t>رضا صحرایی</w:t>
              </w:r>
            </w:hyperlink>
            <w:r w:rsidRPr="00EE1F06">
              <w:rPr>
                <w:rFonts w:ascii="Tahoma" w:eastAsia="Times New Roman" w:hAnsi="Tahoma" w:cs="Tahoma"/>
                <w:sz w:val="18"/>
                <w:szCs w:val="18"/>
                <w:rtl/>
              </w:rPr>
              <w:t> ، </w:t>
            </w:r>
            <w:hyperlink r:id="rId10" w:history="1">
              <w:r w:rsidRPr="00EE1F06">
                <w:rPr>
                  <w:rFonts w:ascii="Tahoma" w:eastAsia="Times New Roman" w:hAnsi="Tahoma" w:cs="Tahoma"/>
                  <w:color w:val="000802"/>
                  <w:sz w:val="18"/>
                  <w:szCs w:val="18"/>
                  <w:bdr w:val="none" w:sz="0" w:space="0" w:color="auto" w:frame="1"/>
                  <w:rtl/>
                </w:rPr>
                <w:t>حسن علی عابدی</w:t>
              </w:r>
            </w:hyperlink>
            <w:r w:rsidRPr="00EE1F06">
              <w:rPr>
                <w:rFonts w:ascii="Tahoma" w:eastAsia="Times New Roman" w:hAnsi="Tahoma" w:cs="Tahoma"/>
                <w:sz w:val="18"/>
                <w:szCs w:val="18"/>
                <w:rtl/>
              </w:rPr>
              <w:t>  ، </w:t>
            </w:r>
            <w:hyperlink r:id="rId11" w:history="1">
              <w:r w:rsidRPr="00EE1F06">
                <w:rPr>
                  <w:rFonts w:ascii="Tahoma" w:eastAsia="Times New Roman" w:hAnsi="Tahoma" w:cs="Tahoma"/>
                  <w:color w:val="000802"/>
                  <w:sz w:val="18"/>
                  <w:szCs w:val="18"/>
                  <w:bdr w:val="none" w:sz="0" w:space="0" w:color="auto" w:frame="1"/>
                  <w:rtl/>
                </w:rPr>
                <w:t>شکوفه آتش پور</w:t>
              </w:r>
            </w:hyperlink>
          </w:p>
        </w:tc>
      </w:tr>
      <w:tr w:rsidR="00EE1F06" w:rsidRPr="00EE1F06" w:rsidTr="00EE1F06">
        <w:trPr>
          <w:tblCellSpacing w:w="15" w:type="dxa"/>
        </w:trPr>
        <w:tc>
          <w:tcPr>
            <w:tcW w:w="0" w:type="auto"/>
            <w:gridSpan w:val="2"/>
            <w:shd w:val="clear" w:color="auto" w:fill="FAFAFA"/>
            <w:vAlign w:val="center"/>
            <w:hideMark/>
          </w:tcPr>
          <w:p w:rsidR="00EE1F06" w:rsidRPr="00EE1F06" w:rsidRDefault="00EE1F06" w:rsidP="00EE1F06">
            <w:pPr>
              <w:bidi/>
              <w:spacing w:after="0" w:line="480" w:lineRule="auto"/>
              <w:jc w:val="both"/>
              <w:rPr>
                <w:rFonts w:ascii="Tahoma" w:eastAsia="Times New Roman" w:hAnsi="Tahoma" w:cs="Tahoma"/>
                <w:sz w:val="18"/>
                <w:szCs w:val="18"/>
                <w:rtl/>
              </w:rPr>
            </w:pPr>
            <w:r w:rsidRPr="00EE1F06">
              <w:rPr>
                <w:rFonts w:ascii="Tahoma" w:eastAsia="Times New Roman" w:hAnsi="Tahoma" w:cs="Tahoma"/>
                <w:i/>
                <w:iCs/>
                <w:sz w:val="18"/>
                <w:szCs w:val="18"/>
                <w:bdr w:val="none" w:sz="0" w:space="0" w:color="auto" w:frame="1"/>
                <w:rtl/>
              </w:rPr>
              <w:t>د.ع.پ.جهرم</w:t>
            </w:r>
          </w:p>
        </w:tc>
      </w:tr>
      <w:tr w:rsidR="00EE1F06" w:rsidRPr="00EE1F06" w:rsidTr="00EE1F06">
        <w:trPr>
          <w:trHeight w:val="150"/>
          <w:tblCellSpacing w:w="15" w:type="dxa"/>
        </w:trPr>
        <w:tc>
          <w:tcPr>
            <w:tcW w:w="0" w:type="auto"/>
            <w:gridSpan w:val="2"/>
            <w:shd w:val="clear" w:color="auto" w:fill="FAFAFA"/>
            <w:vAlign w:val="center"/>
            <w:hideMark/>
          </w:tcPr>
          <w:p w:rsidR="00EE1F06" w:rsidRPr="00EE1F06" w:rsidRDefault="00EE1F06" w:rsidP="00EE1F06">
            <w:pPr>
              <w:bidi/>
              <w:spacing w:after="0" w:line="480" w:lineRule="auto"/>
              <w:jc w:val="both"/>
              <w:rPr>
                <w:rFonts w:ascii="Tahoma" w:eastAsia="Times New Roman" w:hAnsi="Tahoma" w:cs="Tahoma"/>
                <w:sz w:val="18"/>
                <w:szCs w:val="18"/>
                <w:rtl/>
              </w:rPr>
            </w:pPr>
          </w:p>
        </w:tc>
      </w:tr>
      <w:tr w:rsidR="00EE1F06" w:rsidRPr="00EE1F06" w:rsidTr="00EE1F06">
        <w:trPr>
          <w:trHeight w:val="150"/>
          <w:tblCellSpacing w:w="15" w:type="dxa"/>
        </w:trPr>
        <w:tc>
          <w:tcPr>
            <w:tcW w:w="0" w:type="auto"/>
            <w:gridSpan w:val="2"/>
            <w:shd w:val="clear" w:color="auto" w:fill="F0D8B5"/>
            <w:vAlign w:val="center"/>
            <w:hideMark/>
          </w:tcPr>
          <w:p w:rsidR="00EE1F06" w:rsidRPr="00EE1F06" w:rsidRDefault="00EE1F06" w:rsidP="00EE1F06">
            <w:pPr>
              <w:bidi/>
              <w:spacing w:after="0" w:line="240" w:lineRule="auto"/>
              <w:jc w:val="both"/>
              <w:rPr>
                <w:rFonts w:ascii="Tahoma" w:eastAsia="Times New Roman" w:hAnsi="Tahoma" w:cs="Tahoma"/>
                <w:sz w:val="18"/>
                <w:szCs w:val="18"/>
              </w:rPr>
            </w:pPr>
            <w:r w:rsidRPr="00EE1F06">
              <w:rPr>
                <w:rFonts w:ascii="Tahoma" w:eastAsia="Times New Roman" w:hAnsi="Tahoma" w:cs="Tahoma"/>
                <w:b/>
                <w:bCs/>
                <w:sz w:val="18"/>
                <w:szCs w:val="18"/>
                <w:bdr w:val="none" w:sz="0" w:space="0" w:color="auto" w:frame="1"/>
                <w:rtl/>
              </w:rPr>
              <w:t>چکیده</w:t>
            </w:r>
            <w:bookmarkStart w:id="0" w:name="_GoBack"/>
            <w:bookmarkEnd w:id="0"/>
          </w:p>
        </w:tc>
      </w:tr>
      <w:tr w:rsidR="00EE1F06" w:rsidRPr="00EE1F06" w:rsidTr="00EE1F06">
        <w:trPr>
          <w:tblCellSpacing w:w="15" w:type="dxa"/>
        </w:trPr>
        <w:tc>
          <w:tcPr>
            <w:tcW w:w="0" w:type="auto"/>
            <w:gridSpan w:val="2"/>
            <w:shd w:val="clear" w:color="auto" w:fill="FAFAFA"/>
            <w:vAlign w:val="center"/>
            <w:hideMark/>
          </w:tcPr>
          <w:p w:rsidR="00EE1F06" w:rsidRPr="00EE1F06" w:rsidRDefault="00EE1F06" w:rsidP="00EE1F06">
            <w:pPr>
              <w:bidi/>
              <w:spacing w:after="0" w:line="480" w:lineRule="auto"/>
              <w:jc w:val="both"/>
              <w:rPr>
                <w:rFonts w:ascii="Tahoma" w:eastAsia="Times New Roman" w:hAnsi="Tahoma" w:cs="Tahoma"/>
                <w:sz w:val="18"/>
                <w:szCs w:val="18"/>
                <w:rtl/>
              </w:rPr>
            </w:pPr>
            <w:r w:rsidRPr="00EE1F06">
              <w:rPr>
                <w:rFonts w:ascii="Tahoma" w:eastAsia="Times New Roman" w:hAnsi="Tahoma" w:cs="Tahoma"/>
                <w:b/>
                <w:bCs/>
                <w:sz w:val="18"/>
                <w:szCs w:val="18"/>
                <w:bdr w:val="none" w:sz="0" w:space="0" w:color="auto" w:frame="1"/>
                <w:rtl/>
              </w:rPr>
              <w:t>مقدمه:</w:t>
            </w:r>
            <w:r w:rsidRPr="00EE1F06">
              <w:rPr>
                <w:rFonts w:ascii="Tahoma" w:eastAsia="Times New Roman" w:hAnsi="Tahoma" w:cs="Tahoma"/>
                <w:sz w:val="18"/>
                <w:szCs w:val="18"/>
                <w:rtl/>
              </w:rPr>
              <w:t> درد احساس نامطبوعی است که معمولاً در اثر صدمات وارده به بافت ها بوجود می</w:t>
            </w:r>
            <w:r w:rsidRPr="00EE1F06">
              <w:rPr>
                <w:rFonts w:ascii="Tahoma" w:eastAsia="Times New Roman" w:hAnsi="Tahoma" w:cs="Tahoma"/>
                <w:sz w:val="18"/>
                <w:szCs w:val="18"/>
                <w:rtl/>
              </w:rPr>
              <w:softHyphen/>
              <w:t>آید. ارکید با داشتن گلوکومانان دارای اثرات ضددردی در مدل های ایجاد درد حاد و مزمن می باشد. چون تاکنون مطالعه ای بر روی اثرات ضد دردی گیاه ارکید صورت نگرفته است و با توجه به خواص آنتی اکسیدانی و ضدالتهابی ترکیبات موجود در ریشه ارکید، هدف از انجام این طرح بررسی اثر عصاره ریشه ارکید بر کاهش و پیشگیری از درد فرمالینی می باشد.</w:t>
            </w:r>
            <w:r w:rsidRPr="00EE1F06">
              <w:rPr>
                <w:rFonts w:ascii="Tahoma" w:eastAsia="Times New Roman" w:hAnsi="Tahoma" w:cs="Tahoma"/>
                <w:sz w:val="18"/>
                <w:szCs w:val="18"/>
                <w:rtl/>
              </w:rPr>
              <w:br/>
            </w:r>
            <w:r w:rsidRPr="00EE1F06">
              <w:rPr>
                <w:rFonts w:ascii="Tahoma" w:eastAsia="Times New Roman" w:hAnsi="Tahoma" w:cs="Tahoma"/>
                <w:b/>
                <w:bCs/>
                <w:sz w:val="18"/>
                <w:szCs w:val="18"/>
                <w:bdr w:val="none" w:sz="0" w:space="0" w:color="auto" w:frame="1"/>
                <w:rtl/>
              </w:rPr>
              <w:t>روش کار</w:t>
            </w:r>
            <w:r w:rsidRPr="00EE1F06">
              <w:rPr>
                <w:rFonts w:ascii="Tahoma" w:eastAsia="Times New Roman" w:hAnsi="Tahoma" w:cs="Tahoma"/>
                <w:sz w:val="18"/>
                <w:szCs w:val="18"/>
                <w:rtl/>
              </w:rPr>
              <w:t>: در این مطالعه تجربی 56 سر موش صحرایی نر نژاد ویستار بطور تصادفی در 7 گروه کنترل، شاهد، ایبوبروفن (6 میلی گرم بر کیلوگرم) و چهار گروه دریافت کننده عصاره آبی ریشه ارکید (80، 160، 320 و 640 میلی گرم بر کیلوگرم) قرار گرفتند. تزریقات به صورت درون صفاقی انجام شد. 30 دقیقه پس از تزریق عصاره ارکید، تست فرمالین انجام شد. داده ها با استفاده از آزمون آماری </w:t>
            </w:r>
            <w:r w:rsidRPr="00EE1F06">
              <w:rPr>
                <w:rFonts w:ascii="Tahoma" w:eastAsia="Times New Roman" w:hAnsi="Tahoma" w:cs="Tahoma"/>
                <w:sz w:val="18"/>
                <w:szCs w:val="18"/>
              </w:rPr>
              <w:t>ANOVA</w:t>
            </w:r>
            <w:r w:rsidRPr="00EE1F06">
              <w:rPr>
                <w:rFonts w:ascii="Tahoma" w:eastAsia="Times New Roman" w:hAnsi="Tahoma" w:cs="Tahoma"/>
                <w:sz w:val="18"/>
                <w:szCs w:val="18"/>
                <w:rtl/>
              </w:rPr>
              <w:t> یک طرفه و تست پشتیبان دانکن در سطح معنی داری 05/0 تجزیه و تحلیل شد.</w:t>
            </w:r>
            <w:r w:rsidRPr="00EE1F06">
              <w:rPr>
                <w:rFonts w:ascii="Tahoma" w:eastAsia="Times New Roman" w:hAnsi="Tahoma" w:cs="Tahoma"/>
                <w:sz w:val="18"/>
                <w:szCs w:val="18"/>
                <w:rtl/>
              </w:rPr>
              <w:br/>
            </w:r>
            <w:r w:rsidRPr="00EE1F06">
              <w:rPr>
                <w:rFonts w:ascii="Tahoma" w:eastAsia="Times New Roman" w:hAnsi="Tahoma" w:cs="Tahoma"/>
                <w:b/>
                <w:bCs/>
                <w:sz w:val="18"/>
                <w:szCs w:val="18"/>
                <w:bdr w:val="none" w:sz="0" w:space="0" w:color="auto" w:frame="1"/>
                <w:rtl/>
              </w:rPr>
              <w:t>یافته</w:t>
            </w:r>
            <w:r w:rsidRPr="00EE1F06">
              <w:rPr>
                <w:rFonts w:ascii="Tahoma" w:eastAsia="Times New Roman" w:hAnsi="Tahoma" w:cs="Tahoma"/>
                <w:b/>
                <w:bCs/>
                <w:sz w:val="18"/>
                <w:szCs w:val="18"/>
                <w:bdr w:val="none" w:sz="0" w:space="0" w:color="auto" w:frame="1"/>
                <w:rtl/>
              </w:rPr>
              <w:softHyphen/>
              <w:t>ها</w:t>
            </w:r>
            <w:r w:rsidRPr="00EE1F06">
              <w:rPr>
                <w:rFonts w:ascii="Tahoma" w:eastAsia="Times New Roman" w:hAnsi="Tahoma" w:cs="Tahoma"/>
                <w:sz w:val="18"/>
                <w:szCs w:val="18"/>
              </w:rPr>
              <w:t>:</w:t>
            </w:r>
            <w:r w:rsidRPr="00EE1F06">
              <w:rPr>
                <w:rFonts w:ascii="Tahoma" w:eastAsia="Times New Roman" w:hAnsi="Tahoma" w:cs="Tahoma"/>
                <w:sz w:val="18"/>
                <w:szCs w:val="18"/>
                <w:rtl/>
              </w:rPr>
              <w:t> غلظت</w:t>
            </w:r>
            <w:r w:rsidRPr="00EE1F06">
              <w:rPr>
                <w:rFonts w:ascii="Tahoma" w:eastAsia="Times New Roman" w:hAnsi="Tahoma" w:cs="Tahoma"/>
                <w:sz w:val="18"/>
                <w:szCs w:val="18"/>
                <w:rtl/>
              </w:rPr>
              <w:softHyphen/>
              <w:t>های320 و 640 میلی</w:t>
            </w:r>
            <w:r w:rsidRPr="00EE1F06">
              <w:rPr>
                <w:rFonts w:ascii="Tahoma" w:eastAsia="Times New Roman" w:hAnsi="Tahoma" w:cs="Tahoma"/>
                <w:sz w:val="18"/>
                <w:szCs w:val="18"/>
                <w:rtl/>
              </w:rPr>
              <w:softHyphen/>
              <w:t>گرم بر کیلوگرم باعث کاهش معنی</w:t>
            </w:r>
            <w:r w:rsidRPr="00EE1F06">
              <w:rPr>
                <w:rFonts w:ascii="Tahoma" w:eastAsia="Times New Roman" w:hAnsi="Tahoma" w:cs="Tahoma"/>
                <w:sz w:val="18"/>
                <w:szCs w:val="18"/>
                <w:rtl/>
              </w:rPr>
              <w:softHyphen/>
              <w:t>دار درد حاد و غلظت</w:t>
            </w:r>
            <w:r w:rsidRPr="00EE1F06">
              <w:rPr>
                <w:rFonts w:ascii="Tahoma" w:eastAsia="Times New Roman" w:hAnsi="Tahoma" w:cs="Tahoma"/>
                <w:sz w:val="18"/>
                <w:szCs w:val="18"/>
                <w:rtl/>
              </w:rPr>
              <w:softHyphen/>
              <w:t>های 160، 320 و 640 میلی</w:t>
            </w:r>
            <w:r w:rsidRPr="00EE1F06">
              <w:rPr>
                <w:rFonts w:ascii="Tahoma" w:eastAsia="Times New Roman" w:hAnsi="Tahoma" w:cs="Tahoma"/>
                <w:sz w:val="18"/>
                <w:szCs w:val="18"/>
                <w:rtl/>
              </w:rPr>
              <w:softHyphen/>
              <w:t>گرم بر کیلوگرم باعث کاهش معنی</w:t>
            </w:r>
            <w:r w:rsidRPr="00EE1F06">
              <w:rPr>
                <w:rFonts w:ascii="Tahoma" w:eastAsia="Times New Roman" w:hAnsi="Tahoma" w:cs="Tahoma"/>
                <w:sz w:val="18"/>
                <w:szCs w:val="18"/>
                <w:rtl/>
              </w:rPr>
              <w:softHyphen/>
              <w:t xml:space="preserve">دار درد مزمن شد. ایبوبروفن نیز درد حاد و مزمن ناشی از فرمالین را کاهش </w:t>
            </w:r>
            <w:r w:rsidRPr="00EE1F06">
              <w:rPr>
                <w:rFonts w:ascii="Tahoma" w:eastAsia="Times New Roman" w:hAnsi="Tahoma" w:cs="Tahoma"/>
                <w:sz w:val="18"/>
                <w:szCs w:val="18"/>
                <w:rtl/>
              </w:rPr>
              <w:softHyphen/>
              <w:t>داد.</w:t>
            </w:r>
            <w:r w:rsidRPr="00EE1F06">
              <w:rPr>
                <w:rFonts w:ascii="Tahoma" w:eastAsia="Times New Roman" w:hAnsi="Tahoma" w:cs="Tahoma"/>
                <w:sz w:val="18"/>
                <w:szCs w:val="18"/>
                <w:rtl/>
              </w:rPr>
              <w:br/>
            </w:r>
            <w:r w:rsidRPr="00EE1F06">
              <w:rPr>
                <w:rFonts w:ascii="Tahoma" w:eastAsia="Times New Roman" w:hAnsi="Tahoma" w:cs="Tahoma"/>
                <w:b/>
                <w:bCs/>
                <w:sz w:val="18"/>
                <w:szCs w:val="18"/>
                <w:bdr w:val="none" w:sz="0" w:space="0" w:color="auto" w:frame="1"/>
                <w:rtl/>
              </w:rPr>
              <w:t>بحث و نتیجه گیری</w:t>
            </w:r>
            <w:r w:rsidRPr="00EE1F06">
              <w:rPr>
                <w:rFonts w:ascii="Tahoma" w:eastAsia="Times New Roman" w:hAnsi="Tahoma" w:cs="Tahoma"/>
                <w:sz w:val="18"/>
                <w:szCs w:val="18"/>
                <w:rtl/>
              </w:rPr>
              <w:t>: نتایج این مطالعه نشان داد که عصاره ریشه ارکید به صورت وابسته به دوز دارای خاصیت ضد دردی می باشد که احتمالا به خاصیت آنتی</w:t>
            </w:r>
            <w:r w:rsidRPr="00EE1F06">
              <w:rPr>
                <w:rFonts w:ascii="Tahoma" w:eastAsia="Times New Roman" w:hAnsi="Tahoma" w:cs="Tahoma"/>
                <w:sz w:val="18"/>
                <w:szCs w:val="18"/>
                <w:rtl/>
              </w:rPr>
              <w:softHyphen/>
              <w:t>اکسیدانی و و جود گلوکومانان و نیز خاصیت ضد التهابی آن مرتبط است</w:t>
            </w:r>
          </w:p>
        </w:tc>
      </w:tr>
      <w:tr w:rsidR="00EE1F06" w:rsidRPr="00EE1F06" w:rsidTr="00EE1F06">
        <w:trPr>
          <w:trHeight w:val="75"/>
          <w:tblCellSpacing w:w="15" w:type="dxa"/>
        </w:trPr>
        <w:tc>
          <w:tcPr>
            <w:tcW w:w="0" w:type="auto"/>
            <w:gridSpan w:val="2"/>
            <w:shd w:val="clear" w:color="auto" w:fill="FAFAFA"/>
            <w:vAlign w:val="center"/>
            <w:hideMark/>
          </w:tcPr>
          <w:p w:rsidR="00EE1F06" w:rsidRPr="00EE1F06" w:rsidRDefault="00EE1F06" w:rsidP="00EE1F06">
            <w:pPr>
              <w:bidi/>
              <w:spacing w:after="0" w:line="480" w:lineRule="auto"/>
              <w:jc w:val="both"/>
              <w:rPr>
                <w:rFonts w:ascii="Tahoma" w:eastAsia="Times New Roman" w:hAnsi="Tahoma" w:cs="Tahoma"/>
                <w:sz w:val="18"/>
                <w:szCs w:val="18"/>
                <w:rtl/>
              </w:rPr>
            </w:pPr>
          </w:p>
        </w:tc>
      </w:tr>
      <w:tr w:rsidR="00EE1F06" w:rsidRPr="00EE1F06" w:rsidTr="00EE1F06">
        <w:trPr>
          <w:tblCellSpacing w:w="15" w:type="dxa"/>
        </w:trPr>
        <w:tc>
          <w:tcPr>
            <w:tcW w:w="0" w:type="auto"/>
            <w:gridSpan w:val="2"/>
            <w:shd w:val="clear" w:color="auto" w:fill="FAFAFA"/>
            <w:hideMark/>
          </w:tcPr>
          <w:p w:rsidR="00EE1F06" w:rsidRPr="00EE1F06" w:rsidRDefault="00EE1F06" w:rsidP="00EE1F06">
            <w:pPr>
              <w:bidi/>
              <w:spacing w:after="0" w:line="480" w:lineRule="auto"/>
              <w:jc w:val="both"/>
              <w:rPr>
                <w:rFonts w:ascii="Tahoma" w:eastAsia="Times New Roman" w:hAnsi="Tahoma" w:cs="Tahoma"/>
                <w:sz w:val="18"/>
                <w:szCs w:val="18"/>
              </w:rPr>
            </w:pPr>
            <w:r w:rsidRPr="00EE1F06">
              <w:rPr>
                <w:rFonts w:ascii="Tahoma" w:eastAsia="Times New Roman" w:hAnsi="Tahoma" w:cs="Tahoma"/>
                <w:b/>
                <w:bCs/>
                <w:sz w:val="18"/>
                <w:szCs w:val="18"/>
                <w:bdr w:val="none" w:sz="0" w:space="0" w:color="auto" w:frame="1"/>
                <w:rtl/>
              </w:rPr>
              <w:t>واژه‌های کلیدی: </w:t>
            </w:r>
            <w:hyperlink r:id="rId12" w:history="1">
              <w:r w:rsidRPr="00EE1F06">
                <w:rPr>
                  <w:rFonts w:ascii="Tahoma" w:eastAsia="Times New Roman" w:hAnsi="Tahoma" w:cs="Tahoma"/>
                  <w:color w:val="000802"/>
                  <w:sz w:val="18"/>
                  <w:szCs w:val="18"/>
                  <w:bdr w:val="none" w:sz="0" w:space="0" w:color="auto" w:frame="1"/>
                  <w:rtl/>
                </w:rPr>
                <w:t>ارکید</w:t>
              </w:r>
            </w:hyperlink>
            <w:r w:rsidRPr="00EE1F06">
              <w:rPr>
                <w:rFonts w:ascii="Tahoma" w:eastAsia="Times New Roman" w:hAnsi="Tahoma" w:cs="Tahoma"/>
                <w:sz w:val="18"/>
                <w:szCs w:val="18"/>
                <w:rtl/>
              </w:rPr>
              <w:t>، </w:t>
            </w:r>
            <w:hyperlink r:id="rId13" w:history="1">
              <w:r w:rsidRPr="00EE1F06">
                <w:rPr>
                  <w:rFonts w:ascii="Tahoma" w:eastAsia="Times New Roman" w:hAnsi="Tahoma" w:cs="Tahoma"/>
                  <w:color w:val="000802"/>
                  <w:sz w:val="18"/>
                  <w:szCs w:val="18"/>
                  <w:bdr w:val="none" w:sz="0" w:space="0" w:color="auto" w:frame="1"/>
                  <w:rtl/>
                </w:rPr>
                <w:t>درد</w:t>
              </w:r>
            </w:hyperlink>
            <w:r w:rsidRPr="00EE1F06">
              <w:rPr>
                <w:rFonts w:ascii="Tahoma" w:eastAsia="Times New Roman" w:hAnsi="Tahoma" w:cs="Tahoma"/>
                <w:sz w:val="18"/>
                <w:szCs w:val="18"/>
                <w:rtl/>
              </w:rPr>
              <w:t>، </w:t>
            </w:r>
            <w:hyperlink r:id="rId14" w:history="1">
              <w:r w:rsidRPr="00EE1F06">
                <w:rPr>
                  <w:rFonts w:ascii="Tahoma" w:eastAsia="Times New Roman" w:hAnsi="Tahoma" w:cs="Tahoma"/>
                  <w:color w:val="000802"/>
                  <w:sz w:val="18"/>
                  <w:szCs w:val="18"/>
                  <w:bdr w:val="none" w:sz="0" w:space="0" w:color="auto" w:frame="1"/>
                  <w:rtl/>
                </w:rPr>
                <w:t>فرمالین</w:t>
              </w:r>
            </w:hyperlink>
            <w:r w:rsidRPr="00EE1F06">
              <w:rPr>
                <w:rFonts w:ascii="Tahoma" w:eastAsia="Times New Roman" w:hAnsi="Tahoma" w:cs="Tahoma"/>
                <w:sz w:val="18"/>
                <w:szCs w:val="18"/>
                <w:rtl/>
              </w:rPr>
              <w:t>، </w:t>
            </w:r>
            <w:hyperlink r:id="rId15" w:history="1">
              <w:r w:rsidRPr="00EE1F06">
                <w:rPr>
                  <w:rFonts w:ascii="Tahoma" w:eastAsia="Times New Roman" w:hAnsi="Tahoma" w:cs="Tahoma"/>
                  <w:color w:val="000000"/>
                  <w:sz w:val="18"/>
                  <w:szCs w:val="18"/>
                  <w:bdr w:val="none" w:sz="0" w:space="0" w:color="auto" w:frame="1"/>
                  <w:rtl/>
                </w:rPr>
                <w:t>موش صحرایی</w:t>
              </w:r>
            </w:hyperlink>
          </w:p>
        </w:tc>
      </w:tr>
    </w:tbl>
    <w:p w:rsidR="00716A83" w:rsidRDefault="00716A83"/>
    <w:sectPr w:rsidR="00716A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06"/>
    <w:rsid w:val="00716A83"/>
    <w:rsid w:val="00EE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6668-066E-47CE-B40B-BD5AC21C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j.jums.ac.ir/search.php?sid=1&amp;slc_lang=fa&amp;auth=%D9%BE%D9%88%D8%B1%D8%A7%D8%AD%D9%85%D8%AF%DB%8C" TargetMode="External"/><Relationship Id="rId13" Type="http://schemas.openxmlformats.org/officeDocument/2006/relationships/hyperlink" Target="http://jmj.jums.ac.ir/search.php?sid=1&amp;slc_lang=fa&amp;key=%D8%AF%D8%B1%D8%AF" TargetMode="External"/><Relationship Id="rId3" Type="http://schemas.openxmlformats.org/officeDocument/2006/relationships/webSettings" Target="webSettings.xml"/><Relationship Id="rId7" Type="http://schemas.openxmlformats.org/officeDocument/2006/relationships/hyperlink" Target="http://jmj.jums.ac.ir/search.php?sid=1&amp;slc_lang=fa&amp;auth=%D8%AD%D8%B3%D9%86+%D9%86%DA%98%D8%A7%D8%AF" TargetMode="External"/><Relationship Id="rId12" Type="http://schemas.openxmlformats.org/officeDocument/2006/relationships/hyperlink" Target="http://jmj.jums.ac.ir/search.php?sid=1&amp;slc_lang=fa&amp;key=%D8%A7%D8%B1%DA%A9%DB%8C%D8%A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jmj.jums.ac.ir/search.php?sid=1&amp;slc_lang=fa&amp;auth=%D8%B5%D9%84%D8%AD+%D8%AC%D9%88" TargetMode="External"/><Relationship Id="rId11" Type="http://schemas.openxmlformats.org/officeDocument/2006/relationships/hyperlink" Target="http://jmj.jums.ac.ir/search.php?sid=1&amp;slc_lang=fa&amp;auth=%D8%A2%D8%AA%D8%B4+%D9%BE%D9%88%D8%B1" TargetMode="External"/><Relationship Id="rId5" Type="http://schemas.openxmlformats.org/officeDocument/2006/relationships/hyperlink" Target="http://jmj.jums.ac.ir/search.php?sid=1&amp;slc_lang=fa&amp;auth=%DA%A9%D8%A7%D8%B1%DA%AF%D8%B1+%D8%AC%D9%87%D8%B1%D9%85%DB%8C" TargetMode="External"/><Relationship Id="rId15" Type="http://schemas.openxmlformats.org/officeDocument/2006/relationships/hyperlink" Target="http://jmj.jums.ac.ir/search.php?sid=1&amp;slc_lang=fa&amp;key=%D9%85%D9%88%D8%B4+%D8%B5%D8%AD%D8%B1%D8%A7%DB%8C%DB%8C" TargetMode="External"/><Relationship Id="rId10" Type="http://schemas.openxmlformats.org/officeDocument/2006/relationships/hyperlink" Target="http://jmj.jums.ac.ir/search.php?sid=1&amp;slc_lang=fa&amp;auth=%D8%B9%D8%A7%D8%A8%D8%AF%DB%8C" TargetMode="External"/><Relationship Id="rId4" Type="http://schemas.openxmlformats.org/officeDocument/2006/relationships/hyperlink" Target="http://jmj.jums.ac.ir/article-1-1469-fa.pdf" TargetMode="External"/><Relationship Id="rId9" Type="http://schemas.openxmlformats.org/officeDocument/2006/relationships/hyperlink" Target="http://jmj.jums.ac.ir/search.php?sid=1&amp;slc_lang=fa&amp;auth=%D8%B5%D8%AD%D8%B1%D8%A7%DB%8C%DB%8C" TargetMode="External"/><Relationship Id="rId14" Type="http://schemas.openxmlformats.org/officeDocument/2006/relationships/hyperlink" Target="http://jmj.jums.ac.ir/search.php?sid=1&amp;slc_lang=fa&amp;key=%D9%81%D8%B1%D9%85%D8%A7%D9%84%DB%8C%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Fani</dc:creator>
  <cp:keywords/>
  <dc:description/>
  <cp:lastModifiedBy>Fatemeh Fani</cp:lastModifiedBy>
  <cp:revision>1</cp:revision>
  <dcterms:created xsi:type="dcterms:W3CDTF">2020-09-28T08:03:00Z</dcterms:created>
  <dcterms:modified xsi:type="dcterms:W3CDTF">2020-09-28T08:03:00Z</dcterms:modified>
</cp:coreProperties>
</file>